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05"/>
        <w:gridCol w:w="943"/>
        <w:gridCol w:w="942"/>
        <w:gridCol w:w="812"/>
        <w:gridCol w:w="988"/>
        <w:gridCol w:w="1362"/>
        <w:gridCol w:w="1450"/>
        <w:gridCol w:w="1100"/>
        <w:gridCol w:w="1838"/>
        <w:gridCol w:w="887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西华师范大学2021年12月公开招聘辅导员岗位和条件要求一览表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招聘对象范围</w:t>
            </w:r>
          </w:p>
        </w:tc>
        <w:tc>
          <w:tcPr>
            <w:tcW w:w="5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CWNU01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和硕士及以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此岗位需长期在女生宿舍值班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辅导员B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CWNU02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和硕士及以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此岗位需长期在男生宿舍值班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6F54"/>
    <w:rsid w:val="31F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2021-12-09T06:44:00Z</dcterms:created>
  <dc:creator>甜又咸</dc:creator>
  <cp:lastModifiedBy>甜又咸</cp:lastModifiedBy>
  <dcterms:modified xsi:type="dcterms:W3CDTF">2021-12-09T06:44:38Z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BF043899A1CA4C6096C20A0C53DAF9AF</vt:lpwstr>
  </property>
</Properties>
</file>