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中国农业绿色发展研究会科学技术奖成果摘要表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eastAsia="方正小标宋简体"/>
          <w:sz w:val="32"/>
          <w:szCs w:val="32"/>
        </w:rPr>
      </w:pPr>
    </w:p>
    <w:tbl>
      <w:tblPr>
        <w:tblStyle w:val="7"/>
        <w:tblW w:w="8647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60"/>
        <w:gridCol w:w="965"/>
        <w:gridCol w:w="709"/>
        <w:gridCol w:w="3192"/>
        <w:gridCol w:w="148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tblCellSpacing w:w="7" w:type="dxa"/>
          <w:jc w:val="center"/>
        </w:trPr>
        <w:tc>
          <w:tcPr>
            <w:tcW w:w="1704" w:type="dxa"/>
            <w:gridSpan w:val="2"/>
            <w:tcBorders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6901" w:type="dxa"/>
            <w:gridSpan w:val="4"/>
            <w:tcBorders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四川省猕猴桃溃疡病绿色防控技术研发与应用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tblCellSpacing w:w="7" w:type="dxa"/>
          <w:jc w:val="center"/>
        </w:trPr>
        <w:tc>
          <w:tcPr>
            <w:tcW w:w="1704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第一完成单位</w:t>
            </w:r>
          </w:p>
        </w:tc>
        <w:tc>
          <w:tcPr>
            <w:tcW w:w="38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第一完成人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马利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tblCellSpacing w:w="7" w:type="dxa"/>
          <w:jc w:val="center"/>
        </w:trPr>
        <w:tc>
          <w:tcPr>
            <w:tcW w:w="1704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8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四川省成都市武侯祠大街四号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/>
              </w:rPr>
              <w:t>15828150672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tblCellSpacing w:w="7" w:type="dxa"/>
          <w:jc w:val="center"/>
        </w:trPr>
        <w:tc>
          <w:tcPr>
            <w:tcW w:w="2413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项目研究起止时间</w:t>
            </w:r>
          </w:p>
        </w:tc>
        <w:tc>
          <w:tcPr>
            <w:tcW w:w="61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2009年01月01日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92" w:hRule="atLeast"/>
          <w:tblCellSpacing w:w="7" w:type="dxa"/>
          <w:jc w:val="center"/>
        </w:trPr>
        <w:tc>
          <w:tcPr>
            <w:tcW w:w="739" w:type="dxa"/>
            <w:tcBorders>
              <w:top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866" w:type="dxa"/>
            <w:gridSpan w:val="5"/>
            <w:tcBorders>
              <w:top w:val="outset" w:color="auto" w:sz="6" w:space="0"/>
              <w:lef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成果背景：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猕猴桃是四川省贫困地区脱贫攻坚的支柱性产业，截至2020年全省种植面积达75万亩，猕猴桃溃疡病是一种具有爆发性、流行性、毁灭性的细菌性病害，被称为猕猴桃产业的“癌症”，该病在四川扩散蔓延迅速，尤其在以“红阳”为代表的特色猕猴桃品种上“得病必死，得病必砍”，导致全省果园重建率达50%以上，对产业形成了毁灭性打击，严重制约了产业的健康和可持续发展，严重威胁脱贫攻坚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的阶段性成果，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潜藏着巨大的规模性返贫风险。在生产中普遍存在“初期不认识，发生猛用药，病害防不住”的现象，不仅防治效果差，还引起农残超标、污染环境等问题，带来巨大的经济、生态损失。四川农业大学、四川省农业农村厅植保站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相关单位针对溃疡病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灾变规律不清、早期监测预警体系缺失、绿色防控技术体系缺乏等问题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开展协同攻关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取得了系列创新性成果，最终集成了以“早筛早诊为基础、保温避雨为核心、药剂施用为辅助”的四川省猕猴桃溃疡病绿色防控技术体系，实现病害防治关口大步前移，颠覆了以施药为主的传统防治方法，将病害平均防效提升到85%以上。近年来，通过绿色防控技术的大力推广应用，有效提高了果农绿色防控技术水平，强力提振了猕猴桃产业信心，有力保障了四川猕猴桃产业的绿色安全、高质量、可持续性发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创新点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新点一：揭示猕猴桃溃疡病在四川省发生流行的灾变机理。探明四川溃疡病分布范围、发生动态、传播条件等。首次明确1月上旬最低温为四川溃疡病发生的关键气象因子，伤口为重要侵入途径，30min持露时长是完成侵入并在体内扩繁转移的重要条件。为利用人工措施改变小气候环境，通过对猕猴桃树体保温避雨达到有效控制溃疡病，提供了坚实的科学理论支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新点二：构建基于快速检测技术的溃疡病早筛早诊预警体系。探明四川溃疡病原菌致病类群并创建4种快速检测方法；开发溃疡病田间识别APP识别准确率达90%以上；研究制定四川省猕猴桃溃疡病发生区划，分区设立28个监测点，建立预警模型自动分析各区域数据，预测准确率达92%。突破了病害早期精准诊断技术瓶颈，实现早筛早诊早治，防控关口大步前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新点三：创立保温避雨为核心的溃疡病绿色防控技术体系。研制猕猴桃专用“智能模块化钢绳三角避雨大棚”，创制并生产树干保温涂白剂和筛选出特效复配制剂。通过人工改变冬季低温环境，减轻枝干发病；通过隔绝春季雨水，控制流行暴发。比农户自防减少施药3-6次，平均防效由30-40%提高到85%以上。有效地延长了以“红阳”为代表的，种植占比高达80%以上的优质但高感病品种的存活寿命，促进产业绿色安全、高质量、可持续性发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新点四：组建“体系推动、示范带动、优价拉动”的推广机制。通过植保体系推动，在各主产区建立避雨大棚2万余个，建立绿色防控技术核心示范片5.09万亩，累计培训新型农业经营者20.8万余人次、培育高新技术企业2家，绿色防控产品纷纷进入企业、超市、学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推广应用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川农业大学与四川省农业农村厅植物保护站等单位依托“农业农村部技术协同推广”、“四川农业科技网”等农业成果转化及信息综合服务体系，融合“农-科-教”、“政-产-学-研”，采用现场观摩交流、专题培训、预测预报信息发布、专家在线答疑、媒体宣传、科技图书等推广手段，采取监测—会商—预警、示范—观摩—培训、媒体—推广—落地等推广实施办法，形成“点-圈-面-区”推广格局。先后在四川广元、绵阳、德阳、成都、雅安、乐山、凉山、甘孜等60多个县（市、区）以及重庆、贵州、云南、湖北等地进行示范推广和专题培训，猕猴桃溃疡病绿色防控取得较好成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社会效益：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成果的广泛推广应用，成功解决生产中猕猴桃溃疡病“无方法可用、无技术可推广”的难题，提高果农绿色防控技术水平，增强了四川猕猴桃产业发展信心。四川秦巴山区推广种植猕猴桃50多万亩次，果园亩年用工20~30个，通过合理用工和产品销售，2亩地就能肋推1个贫困户脱贫，可为秦巴山区20万余人提供脱贫机会，有效助力四川脱贫攻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经济效益：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构建的猕猴桃溃疡病快速检测技术和绿色防控技术体系，2019年1月~2021年11月，在四川省都江堰市、广元市、德阳市、绵阳市、雅安市、乐山市、蒲江县、邛崃市累计推广面积达136.99万亩次，累计新增产量17.17万吨，占全省猕猴桃总产值的19.16%，经济效益显著。</w:t>
            </w:r>
          </w:p>
          <w:tbl>
            <w:tblPr>
              <w:tblStyle w:val="8"/>
              <w:tblW w:w="834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9"/>
              <w:gridCol w:w="1669"/>
              <w:gridCol w:w="1669"/>
              <w:gridCol w:w="1669"/>
              <w:gridCol w:w="16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33" w:hRule="atLeast"/>
                <w:jc w:val="center"/>
              </w:trPr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自然年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推广面积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（万亩）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新增产量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（斤/亩）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新增销售额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（亿元）</w:t>
                  </w:r>
                </w:p>
              </w:tc>
              <w:tc>
                <w:tcPr>
                  <w:tcW w:w="167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新增利润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（亿元）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2019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34.47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240.87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3.94</w:t>
                  </w:r>
                </w:p>
              </w:tc>
              <w:tc>
                <w:tcPr>
                  <w:tcW w:w="167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3.92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4" w:hRule="atLeast"/>
                <w:jc w:val="center"/>
              </w:trPr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</w:rPr>
                    <w:t>2020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45.23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243.87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5.77</w:t>
                  </w:r>
                </w:p>
              </w:tc>
              <w:tc>
                <w:tcPr>
                  <w:tcW w:w="167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5.74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4" w:hRule="atLeast"/>
                <w:jc w:val="center"/>
              </w:trPr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2021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57.30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254.95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7.54</w:t>
                  </w:r>
                </w:p>
              </w:tc>
              <w:tc>
                <w:tcPr>
                  <w:tcW w:w="167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highlight w:val="none"/>
                      <w:shd w:val="clear"/>
                      <w:lang w:val="en-US" w:eastAsia="zh-CN"/>
                    </w:rPr>
                    <w:t>7.51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计算依据：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新增销售额=推广面积×缩值系数×（单位挽回损失+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单位节约成本+单位新增销售）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（1）单位挽回损失=亩挽回损失×单价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（2）单位节约成本=单位减少农药金额+单位减少人工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（3）单位新增销售=亩产×增加的售价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新增利润=推广面积×缩值系数×（单位挽回损失+单位节约成本+单位新增销售-推广成本）</w:t>
            </w:r>
          </w:p>
        </w:tc>
      </w:tr>
    </w:tbl>
    <w:p>
      <w:pPr>
        <w:rPr>
          <w:rFonts w:hint="eastAsia" w:eastAsia="仿宋_GB2312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87" w:bottom="1417" w:left="1587" w:header="851" w:footer="113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Fonts w:hint="default"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Fonts w:hint="default" w:ascii="Times New Roman" w:hAnsi="Times New Roman" w:cs="Times New Roman"/>
        <w:sz w:val="24"/>
        <w:szCs w:val="24"/>
        <w:lang w:val="zh-CN"/>
      </w:rPr>
      <w:t>21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D4"/>
    <w:rsid w:val="00003350"/>
    <w:rsid w:val="000C5F0E"/>
    <w:rsid w:val="000E4F18"/>
    <w:rsid w:val="00137FAE"/>
    <w:rsid w:val="00155151"/>
    <w:rsid w:val="002216D4"/>
    <w:rsid w:val="00250E25"/>
    <w:rsid w:val="002B2C59"/>
    <w:rsid w:val="003265A3"/>
    <w:rsid w:val="0039257D"/>
    <w:rsid w:val="003E3053"/>
    <w:rsid w:val="004810BB"/>
    <w:rsid w:val="005309AE"/>
    <w:rsid w:val="00535AB1"/>
    <w:rsid w:val="005C54D9"/>
    <w:rsid w:val="0081582F"/>
    <w:rsid w:val="008248A5"/>
    <w:rsid w:val="00857A0C"/>
    <w:rsid w:val="008629AA"/>
    <w:rsid w:val="009008F5"/>
    <w:rsid w:val="009773DD"/>
    <w:rsid w:val="009E432E"/>
    <w:rsid w:val="00A07D6C"/>
    <w:rsid w:val="00A146B4"/>
    <w:rsid w:val="00A65CA1"/>
    <w:rsid w:val="00A82825"/>
    <w:rsid w:val="00B22B63"/>
    <w:rsid w:val="00B32B7A"/>
    <w:rsid w:val="00C44647"/>
    <w:rsid w:val="00CB0C7D"/>
    <w:rsid w:val="00CF0847"/>
    <w:rsid w:val="00DC79B3"/>
    <w:rsid w:val="00E36838"/>
    <w:rsid w:val="00E80727"/>
    <w:rsid w:val="00E82AE7"/>
    <w:rsid w:val="00E94D83"/>
    <w:rsid w:val="00EE638F"/>
    <w:rsid w:val="00F6252A"/>
    <w:rsid w:val="00F663E6"/>
    <w:rsid w:val="00F74A12"/>
    <w:rsid w:val="00F8011B"/>
    <w:rsid w:val="00FE1C4C"/>
    <w:rsid w:val="02664C4B"/>
    <w:rsid w:val="06807EAE"/>
    <w:rsid w:val="09D640F0"/>
    <w:rsid w:val="0CC42767"/>
    <w:rsid w:val="0E2D552F"/>
    <w:rsid w:val="0EA14990"/>
    <w:rsid w:val="10F906B9"/>
    <w:rsid w:val="11364558"/>
    <w:rsid w:val="229F733D"/>
    <w:rsid w:val="2EBE7ABE"/>
    <w:rsid w:val="30D80771"/>
    <w:rsid w:val="360E19FC"/>
    <w:rsid w:val="37F93D73"/>
    <w:rsid w:val="466E3EA2"/>
    <w:rsid w:val="52116974"/>
    <w:rsid w:val="574E022E"/>
    <w:rsid w:val="596A4E6F"/>
    <w:rsid w:val="5B5C70A9"/>
    <w:rsid w:val="61BB1887"/>
    <w:rsid w:val="64073DB4"/>
    <w:rsid w:val="67401331"/>
    <w:rsid w:val="68DB69DD"/>
    <w:rsid w:val="6B6328E8"/>
    <w:rsid w:val="6C4603C6"/>
    <w:rsid w:val="7A243D7F"/>
    <w:rsid w:val="7F46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 w:hAnsiTheme="minorHAnsi" w:eastAsiaTheme="minorEastAsia" w:cstheme="minorBidi"/>
      <w:sz w:val="24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qFormat/>
    <w:uiPriority w:val="0"/>
    <w:pPr>
      <w:ind w:firstLine="480"/>
    </w:pPr>
    <w:rPr>
      <w:rFonts w:asciiTheme="minorHAnsi" w:hAnsiTheme="minorHAnsi" w:eastAsiaTheme="minorEastAsia" w:cstheme="minorBidi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字符"/>
    <w:link w:val="2"/>
    <w:qFormat/>
    <w:uiPriority w:val="0"/>
    <w:rPr>
      <w:rFonts w:ascii="仿宋_GB2312"/>
      <w:sz w:val="24"/>
      <w:szCs w:val="24"/>
    </w:rPr>
  </w:style>
  <w:style w:type="character" w:customStyle="1" w:styleId="14">
    <w:name w:val="正文文本缩进 3 字符"/>
    <w:link w:val="6"/>
    <w:qFormat/>
    <w:uiPriority w:val="0"/>
    <w:rPr>
      <w:sz w:val="24"/>
      <w:szCs w:val="24"/>
    </w:rPr>
  </w:style>
  <w:style w:type="character" w:customStyle="1" w:styleId="15">
    <w:name w:val="纯文本 字符1"/>
    <w:basedOn w:val="9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6">
    <w:name w:val="正文文本缩进 3 字符1"/>
    <w:basedOn w:val="9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27</Words>
  <Characters>160</Characters>
  <Lines>1</Lines>
  <Paragraphs>1</Paragraphs>
  <TotalTime>26</TotalTime>
  <ScaleCrop>false</ScaleCrop>
  <LinksUpToDate>false</LinksUpToDate>
  <CharactersWithSpaces>186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2021-07-23T03:00:00Z</dcterms:created>
  <dc:creator>ThinkPad-</dc:creator>
  <cp:lastModifiedBy>Administrator</cp:lastModifiedBy>
  <dcterms:modified xsi:type="dcterms:W3CDTF">2021-11-25T11:06:57Z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82399651461542ED8CF07E8BFBE1C728</vt:lpwstr>
  </property>
</Properties>
</file>