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附件1</w:t>
      </w:r>
    </w:p>
    <w:p>
      <w:pPr>
        <w:spacing w:after="100" w:afterAutospacing="1" w:line="500" w:lineRule="exact"/>
        <w:jc w:val="center"/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bCs/>
          <w:color w:val="000000"/>
          <w:sz w:val="36"/>
          <w:szCs w:val="36"/>
        </w:rPr>
        <w:t>2021年度全省实验动物质量及设施环境检测结果汇总表</w:t>
      </w:r>
    </w:p>
    <w:tbl>
      <w:tblPr>
        <w:tblStyle w:val="4"/>
        <w:tblW w:w="14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917"/>
        <w:gridCol w:w="4114"/>
        <w:gridCol w:w="2127"/>
        <w:gridCol w:w="3363"/>
        <w:gridCol w:w="2410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tblHeader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0"/>
              </w:rPr>
              <w:t>序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0"/>
              </w:rPr>
              <w:t>单位名称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0"/>
              </w:rPr>
              <w:t>动物品种及等级</w:t>
            </w:r>
          </w:p>
        </w:tc>
        <w:tc>
          <w:tcPr>
            <w:tcW w:w="5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0"/>
              </w:rPr>
              <w:t>检测结果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tblHeader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0"/>
              </w:rPr>
              <w:t>初检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sz w:val="24"/>
                <w:szCs w:val="20"/>
              </w:rPr>
              <w:t>复检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成都达硕实验动物有限公司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SPF级大鼠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SPF级小鼠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清洁级豚鼠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普通级豚鼠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普通级实验用猪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成都生物制品研究所有限责任公司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SPF级小鼠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4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清洁级豚鼠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成都中医药大学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SPF级小鼠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SPF级大鼠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大鼠细小病毒RV株抗体阳性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川北医学院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SPF级小鼠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小鼠仙台病毒抗体阳性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SPF级大鼠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大鼠仙台病毒抗体阳性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四川大学实验动物中心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SPF级小鼠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SPF级大鼠</w:t>
            </w:r>
          </w:p>
        </w:tc>
        <w:tc>
          <w:tcPr>
            <w:tcW w:w="5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未检测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6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四川格林豪斯生物科技有限公司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普通级猴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弓形虫抗体阳性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四川横竖生物科技股份有限公司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普通级猴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4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普通级实验用猪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4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四川省实验动物专委会养殖场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普通级豚鼠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9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四川省医学科学院·四川省人民医院实验动物研究所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SPF级小鼠</w:t>
            </w:r>
          </w:p>
        </w:tc>
        <w:tc>
          <w:tcPr>
            <w:tcW w:w="5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未检测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SPF级大鼠</w:t>
            </w:r>
          </w:p>
        </w:tc>
        <w:tc>
          <w:tcPr>
            <w:tcW w:w="5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未检测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普通级猴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四川省中医药科学院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SPF级小鼠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SPF级大鼠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四川养麝研究所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设施环境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西南医科大学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SPF级大鼠</w:t>
            </w:r>
          </w:p>
        </w:tc>
        <w:tc>
          <w:tcPr>
            <w:tcW w:w="5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未检测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41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SPF级小鼠</w:t>
            </w:r>
          </w:p>
        </w:tc>
        <w:tc>
          <w:tcPr>
            <w:tcW w:w="5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未检测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未生产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13</w:t>
            </w:r>
          </w:p>
        </w:tc>
        <w:tc>
          <w:tcPr>
            <w:tcW w:w="4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雅安普莱美生物科技有限公司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普通级猴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14</w:t>
            </w:r>
          </w:p>
        </w:tc>
        <w:tc>
          <w:tcPr>
            <w:tcW w:w="4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成都中科奥格生物科技有限公司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普通级实验用猪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15</w:t>
            </w:r>
          </w:p>
        </w:tc>
        <w:tc>
          <w:tcPr>
            <w:tcW w:w="4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四川中科奥格生物科技有限公司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普通级实验用猪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16</w:t>
            </w:r>
          </w:p>
        </w:tc>
        <w:tc>
          <w:tcPr>
            <w:tcW w:w="4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成都药康生物科技有限公司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SPF级小鼠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17</w:t>
            </w:r>
          </w:p>
        </w:tc>
        <w:tc>
          <w:tcPr>
            <w:tcW w:w="4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四川农业大学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设施环境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18</w:t>
            </w:r>
          </w:p>
        </w:tc>
        <w:tc>
          <w:tcPr>
            <w:tcW w:w="4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成都乾坤动物药业股份有限公司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设施环境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温度超标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合格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19</w:t>
            </w:r>
          </w:p>
        </w:tc>
        <w:tc>
          <w:tcPr>
            <w:tcW w:w="41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成都利尔药业有限公司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设施环境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255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20</w:t>
            </w:r>
          </w:p>
        </w:tc>
        <w:tc>
          <w:tcPr>
            <w:tcW w:w="4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成都康城新创生物科技有限公司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设施环境</w:t>
            </w:r>
          </w:p>
        </w:tc>
        <w:tc>
          <w:tcPr>
            <w:tcW w:w="3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/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0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1588" w:right="2098" w:bottom="1474" w:left="1985" w:header="851" w:footer="1474" w:gutter="0"/>
          <w:cols w:space="0" w:num="1"/>
          <w:docGrid w:linePitch="579" w:charSpace="-849"/>
        </w:sectPr>
      </w:pPr>
      <w:r>
        <w:rPr>
          <w:rFonts w:ascii="Times New Roman" w:hAnsi="Times New Roman" w:eastAsia="仿宋_GB2312" w:cs="Times New Roman"/>
          <w:bCs/>
          <w:color w:val="000000"/>
          <w:kern w:val="0"/>
          <w:sz w:val="32"/>
          <w:szCs w:val="32"/>
        </w:rPr>
        <w:br w:type="page"/>
      </w:r>
      <w:bookmarkStart w:id="0" w:name="_GoBack"/>
      <w:bookmarkEnd w:id="0"/>
    </w:p>
    <w:p>
      <w:pPr>
        <w:spacing w:line="4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after="100" w:afterAutospacing="1" w:line="592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2021年度全省实验动物质量及设施环境检测指标汇总表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09"/>
        <w:gridCol w:w="6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tblHeader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序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品种级别</w:t>
            </w: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30"/>
                <w:szCs w:val="30"/>
              </w:rPr>
              <w:t>检测指标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SPF级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小鼠</w:t>
            </w: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蠕虫、沙门菌、肺炎克雷伯杆菌、支原体抗体、仙台病毒抗体、鼠痘病毒抗体、小鼠肝炎病毒抗体、呼肠孤病毒III型抗体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SPF级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大鼠</w:t>
            </w: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蠕虫、沙门菌、肺炎克雷伯杆菌、支原体抗体、汉坦病毒抗体、仙台病毒抗体、大鼠细小病毒RV株抗体、大鼠冠状病毒抗体、呼肠孤病毒III型抗体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普通级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豚鼠</w:t>
            </w: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体外寄生虫、淋巴细胞脉络丛脑膜炎病毒抗体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清洁级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豚鼠</w:t>
            </w: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体外寄生虫、蠕虫、支气管鲍特杆菌、淋巴细胞脉络丛脑膜炎病毒抗体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普通级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猴</w:t>
            </w: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弓形虫抗体、结核分枝杆菌、猴B病毒抗体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普通级</w:t>
            </w:r>
          </w:p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实验用猪</w:t>
            </w: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体外寄生虫、弓形虫抗体、猪瘟病毒抗体、猪繁殖与呼吸综合征病毒抗体、伪狂犬病病毒抗体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设施环境</w:t>
            </w: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屏障环境：温度、湿度、噪声、压差、氨浓度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" w:hRule="atLeast"/>
          <w:jc w:val="center"/>
        </w:trPr>
        <w:tc>
          <w:tcPr>
            <w:tcW w:w="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92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widowControl/>
              <w:spacing w:line="400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普通环境：温度、湿度、噪声、氨浓度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7985270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ind w:right="270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01302"/>
      <w:docPartObj>
        <w:docPartGallery w:val="AutoText"/>
      </w:docPartObj>
    </w:sdtPr>
    <w:sdtContent>
      <w:p>
        <w:pPr>
          <w:pStyle w:val="2"/>
        </w:pPr>
        <w:r>
          <w:rPr>
            <w:sz w:val="24"/>
            <w:szCs w:val="24"/>
          </w:rPr>
          <w:t>—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sz w:val="24"/>
            <w:szCs w:val="24"/>
          </w:rPr>
          <w:t>—</w:t>
        </w:r>
      </w:p>
    </w:sdtContent>
  </w:sdt>
  <w:p>
    <w:pPr>
      <w:pStyle w:val="2"/>
      <w:rPr>
        <w:b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26F"/>
    <w:rsid w:val="00030407"/>
    <w:rsid w:val="004C40A6"/>
    <w:rsid w:val="00544027"/>
    <w:rsid w:val="0059726F"/>
    <w:rsid w:val="00646120"/>
    <w:rsid w:val="00736FAC"/>
    <w:rsid w:val="0091452B"/>
    <w:rsid w:val="009C7283"/>
    <w:rsid w:val="00B04880"/>
    <w:rsid w:val="00B13378"/>
    <w:rsid w:val="00C42935"/>
    <w:rsid w:val="00DF7AB2"/>
    <w:rsid w:val="FFF2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网格型11"/>
    <w:basedOn w:val="4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338</Words>
  <Characters>1930</Characters>
  <Lines>16</Lines>
  <Paragraphs>4</Paragraphs>
  <TotalTime>50</TotalTime>
  <ScaleCrop>false</ScaleCrop>
  <LinksUpToDate>false</LinksUpToDate>
  <CharactersWithSpaces>2264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2021-12-06T16:46:00Z</dcterms:created>
  <dc:creator>lenovo</dc:creator>
  <cp:lastModifiedBy>user</cp:lastModifiedBy>
  <dcterms:modified xsi:type="dcterms:W3CDTF">2021-12-13T18:12:17Z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